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533059">
      <w:r>
        <w:t>PHYS 20</w:t>
      </w:r>
      <w:r w:rsidR="009F4205">
        <w:t>2</w:t>
      </w:r>
      <w:r>
        <w:tab/>
      </w:r>
      <w:r w:rsidR="009F4205">
        <w:t xml:space="preserve">Thermal Expansion </w:t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533059" w:rsidRDefault="00533059"/>
    <w:p w:rsidR="00533059" w:rsidRDefault="00107C8A" w:rsidP="00533059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3pt;margin-top:53.4pt;width:69pt;height:18pt;z-index:251658240">
            <v:imagedata r:id="rId5" o:title=""/>
            <w10:wrap type="topAndBottom"/>
          </v:shape>
          <o:OLEObject Type="Embed" ProgID="Equation.3" ShapeID="_x0000_s1028" DrawAspect="Content" ObjectID="_1577001264" r:id="rId6"/>
        </w:pict>
      </w:r>
      <w:r>
        <w:rPr>
          <w:noProof/>
          <w:sz w:val="20"/>
        </w:rPr>
        <w:pict>
          <v:shape id="_x0000_s1026" type="#_x0000_t75" style="position:absolute;margin-left:18pt;margin-top:53.4pt;width:66pt;height:18pt;z-index:251656192">
            <v:imagedata r:id="rId7" o:title=""/>
            <w10:wrap type="topAndBottom"/>
          </v:shape>
          <o:OLEObject Type="Embed" ProgID="Equation.3" ShapeID="_x0000_s1026" DrawAspect="Content" ObjectID="_1577001265" r:id="rId8"/>
        </w:pict>
      </w:r>
      <w:r>
        <w:rPr>
          <w:noProof/>
          <w:sz w:val="20"/>
        </w:rPr>
        <w:pict>
          <v:shape id="_x0000_s1027" type="#_x0000_t75" style="position:absolute;margin-left:126pt;margin-top:53.4pt;width:71pt;height:18pt;z-index:251657216">
            <v:imagedata r:id="rId9" o:title=""/>
            <w10:wrap type="topAndBottom"/>
          </v:shape>
          <o:OLEObject Type="Embed" ProgID="Equation.3" ShapeID="_x0000_s1027" DrawAspect="Content" ObjectID="_1577001266" r:id="rId10"/>
        </w:pict>
      </w:r>
      <w:r w:rsidR="00533059">
        <w:t xml:space="preserve">The linear coefficients of thermal expansion are:  </w:t>
      </w:r>
      <w:r w:rsidR="00A23E2D">
        <w:br/>
      </w:r>
      <w:proofErr w:type="gramStart"/>
      <w:r w:rsidR="00533059">
        <w:t xml:space="preserve">α </w:t>
      </w:r>
      <w:r w:rsidR="00533059">
        <w:rPr>
          <w:vertAlign w:val="subscript"/>
        </w:rPr>
        <w:t>steel</w:t>
      </w:r>
      <w:proofErr w:type="gramEnd"/>
      <w:r w:rsidR="00533059">
        <w:t xml:space="preserve"> = 12x10</w:t>
      </w:r>
      <w:r w:rsidR="00533059">
        <w:rPr>
          <w:vertAlign w:val="superscript"/>
        </w:rPr>
        <w:t>-6</w:t>
      </w:r>
      <w:r w:rsidR="00533059">
        <w:t>(C</w:t>
      </w:r>
      <w:r w:rsidR="00533059">
        <w:rPr>
          <w:vertAlign w:val="superscript"/>
        </w:rPr>
        <w:t>o</w:t>
      </w:r>
      <w:r w:rsidR="00533059">
        <w:t>)</w:t>
      </w:r>
      <w:r w:rsidR="00533059">
        <w:rPr>
          <w:vertAlign w:val="superscript"/>
        </w:rPr>
        <w:t>-1</w:t>
      </w:r>
      <w:r w:rsidR="00533059">
        <w:t>,</w:t>
      </w:r>
      <w:r w:rsidR="00A23E2D">
        <w:t xml:space="preserve"> </w:t>
      </w:r>
      <w:r w:rsidR="00533059">
        <w:t xml:space="preserve">α </w:t>
      </w:r>
      <w:r w:rsidR="00533059">
        <w:rPr>
          <w:vertAlign w:val="subscript"/>
        </w:rPr>
        <w:t>concrete</w:t>
      </w:r>
      <w:r w:rsidR="00533059">
        <w:t xml:space="preserve"> = 12x10</w:t>
      </w:r>
      <w:r w:rsidR="00533059">
        <w:rPr>
          <w:vertAlign w:val="superscript"/>
        </w:rPr>
        <w:t>-6</w:t>
      </w:r>
      <w:r w:rsidR="00533059">
        <w:t>(C</w:t>
      </w:r>
      <w:r w:rsidR="00533059">
        <w:rPr>
          <w:vertAlign w:val="superscript"/>
        </w:rPr>
        <w:t>o</w:t>
      </w:r>
      <w:r w:rsidR="00533059">
        <w:t>)</w:t>
      </w:r>
      <w:r w:rsidR="00533059">
        <w:rPr>
          <w:vertAlign w:val="superscript"/>
        </w:rPr>
        <w:t>-1</w:t>
      </w:r>
      <w:r w:rsidR="00533059">
        <w:t xml:space="preserve">, α </w:t>
      </w:r>
      <w:r w:rsidR="00533059">
        <w:rPr>
          <w:vertAlign w:val="subscript"/>
        </w:rPr>
        <w:t>aluminum</w:t>
      </w:r>
      <w:r w:rsidR="00533059">
        <w:t xml:space="preserve"> = 23x10</w:t>
      </w:r>
      <w:r w:rsidR="00533059">
        <w:rPr>
          <w:vertAlign w:val="superscript"/>
        </w:rPr>
        <w:t>-6</w:t>
      </w:r>
      <w:r w:rsidR="00533059">
        <w:t>(C</w:t>
      </w:r>
      <w:r w:rsidR="00533059">
        <w:rPr>
          <w:vertAlign w:val="superscript"/>
        </w:rPr>
        <w:t>o</w:t>
      </w:r>
      <w:r w:rsidR="00533059">
        <w:t>)</w:t>
      </w:r>
      <w:r w:rsidR="00533059">
        <w:rPr>
          <w:vertAlign w:val="superscript"/>
        </w:rPr>
        <w:t>-1</w:t>
      </w:r>
      <w:r w:rsidR="00533059">
        <w:t xml:space="preserve">. </w:t>
      </w:r>
      <w:r w:rsidR="00A23E2D">
        <w:br/>
      </w:r>
      <w:r w:rsidR="00533059">
        <w:t>Volumetric coefficient of thermal expansion of gasoline, β</w:t>
      </w:r>
      <w:r w:rsidR="00533059">
        <w:rPr>
          <w:vertAlign w:val="subscript"/>
        </w:rPr>
        <w:t>gasoline</w:t>
      </w:r>
      <w:r w:rsidR="00533059">
        <w:t xml:space="preserve"> = 950 x10</w:t>
      </w:r>
      <w:r w:rsidR="00533059">
        <w:rPr>
          <w:vertAlign w:val="superscript"/>
        </w:rPr>
        <w:t>-6</w:t>
      </w:r>
      <w:r w:rsidR="00533059">
        <w:t>(C</w:t>
      </w:r>
      <w:r w:rsidR="00533059">
        <w:rPr>
          <w:vertAlign w:val="superscript"/>
        </w:rPr>
        <w:t>o</w:t>
      </w:r>
      <w:r w:rsidR="00533059">
        <w:t>)</w:t>
      </w:r>
      <w:r w:rsidR="00533059">
        <w:rPr>
          <w:vertAlign w:val="superscript"/>
        </w:rPr>
        <w:t>-1</w:t>
      </w:r>
      <w:r w:rsidR="00533059">
        <w:t>.</w:t>
      </w:r>
    </w:p>
    <w:p w:rsidR="00A23E2D" w:rsidRDefault="00A23E2D" w:rsidP="00A23E2D">
      <w:pPr>
        <w:pStyle w:val="NormalWeb"/>
        <w:rPr>
          <w:sz w:val="21"/>
          <w:szCs w:val="21"/>
        </w:rPr>
      </w:pPr>
      <w:r>
        <w:rPr>
          <w:szCs w:val="21"/>
        </w:rPr>
        <w:t xml:space="preserve">1. </w:t>
      </w:r>
      <w:r>
        <w:rPr>
          <w:sz w:val="21"/>
          <w:szCs w:val="21"/>
        </w:rPr>
        <w:t>For the highest accuracy, would you choose aluminum or steel tape rule for year-round outdoor use? Why?</w:t>
      </w:r>
    </w:p>
    <w:p w:rsidR="00A23E2D" w:rsidRDefault="00A23E2D" w:rsidP="00A23E2D">
      <w:pPr>
        <w:pStyle w:val="NormalWeb"/>
        <w:rPr>
          <w:szCs w:val="21"/>
        </w:rPr>
      </w:pPr>
    </w:p>
    <w:p w:rsidR="00A23E2D" w:rsidRDefault="00A23E2D" w:rsidP="00A23E2D">
      <w:pPr>
        <w:pStyle w:val="NormalWeb"/>
        <w:rPr>
          <w:szCs w:val="21"/>
        </w:rPr>
      </w:pPr>
    </w:p>
    <w:p w:rsidR="00A23E2D" w:rsidRDefault="00A23E2D" w:rsidP="00A23E2D">
      <w:pPr>
        <w:pStyle w:val="NormalWeb"/>
        <w:rPr>
          <w:szCs w:val="21"/>
        </w:rPr>
      </w:pPr>
    </w:p>
    <w:p w:rsidR="00A23E2D" w:rsidRDefault="003C05E0" w:rsidP="00A23E2D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1114425</wp:posOffset>
                </wp:positionV>
                <wp:extent cx="3479165" cy="1672590"/>
                <wp:effectExtent l="9525" t="9525" r="6985" b="133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2D" w:rsidRPr="0096391C" w:rsidRDefault="003C05E0">
                            <w:pPr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3286125" cy="1571625"/>
                                  <wp:effectExtent l="0" t="0" r="9525" b="9525"/>
                                  <wp:docPr id="4" name="Picture 4" descr="c12/nw0536-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12/nw0536-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87.75pt;width:273.95pt;height:13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GLQIAAFYEAAAOAAAAZHJzL2Uyb0RvYy54bWysVMGO0zAQvSPxD5bvNE236W6jpqulSxHS&#10;LiDt8gGO4yQWjsey3Sbl6xk7bYmAEyIHy+MZP8+8N5PN/dApchTWSdAFTWdzSoTmUEndFPTb6/7d&#10;HSXOM10xBVoU9CQcvd++fbPpTS4W0IKqhCUIol3em4K23ps8SRxvRcfcDIzQ6KzBdsyjaZuksqxH&#10;9E4li/l8lfRgK2OBC+fw9HF00m3Er2vB/Ze6dsITVVDMzcfVxrUMa7LdsLyxzLSSn9Ng/5BFx6TG&#10;R69Qj8wzcrDyD6hOcgsOaj/j0CVQ15KLWANWk85/q+alZUbEWpAcZ640uf8Hyz8fv1oiK9SOEs06&#10;lOhVDJ68h4FkgZ3euByDXgyG+QGPQ2So1Jkn4N8d0bBrmW7Eg7XQt4JVmF0abiaTqyOOCyBl/wwV&#10;PsMOHiLQUNsuACIZBNFRpdNVmZAKx8Ob5e06XWWUcPSlq9tFto7aJSy/XDfW+Y8COhI2BbUofYRn&#10;xyfnQzosv4TE9EHJai+VioZtyp2y5MiwTfbxixVgldMwpUlf0HW2yEYGpj43hZjH728QnfTY70p2&#10;Bb27BrE88PZBV7EbPZNq3GPKSp+JDNyNLPqhHKJiNxd9SqhOyKyFsb1xHHHTgv1BSY+tXVCNs0eJ&#10;+qRRm3W6XIZJiMYyu12gYaeecuphmiNQQT0l43bnx+k5GCubFt+5dMMD6rmXkekg/JjTOXls3ijA&#10;edDCdEztGPXrd7D9CQAA//8DAFBLAwQUAAYACAAAACEA9E8CYuIAAAALAQAADwAAAGRycy9kb3du&#10;cmV2LnhtbEyPQU7DMBBF90jcwRokNog6FEqaEKeCoqoLJASFAzjxkKSNx1HsJoHTM13BcvS+/ryf&#10;rSbbigF73zhScDOLQCCVzjRUKfj82FwvQfigyejWESr4Rg+r/Pws06lxI73jsAuV4BLyqVZQh9Cl&#10;UvqyRqv9zHVIzL5cb3Xgs6+k6fXI5baV8yi6l1Y3xB9q3eG6xvKwO1oFh+d42F+9bJ+K1816Xw3R&#10;+IPlm1KXF9PjA4iAU/gLw0mf1SFnp8IdyXjRKri7nfOWwCBeLEBwIomTBERxQssEZJ7J/xvyXwAA&#10;AP//AwBQSwECLQAUAAYACAAAACEAtoM4kv4AAADhAQAAEwAAAAAAAAAAAAAAAAAAAAAAW0NvbnRl&#10;bnRfVHlwZXNdLnhtbFBLAQItABQABgAIAAAAIQA4/SH/1gAAAJQBAAALAAAAAAAAAAAAAAAAAC8B&#10;AABfcmVscy8ucmVsc1BLAQItABQABgAIAAAAIQBZRzdGLQIAAFYEAAAOAAAAAAAAAAAAAAAAAC4C&#10;AABkcnMvZTJvRG9jLnhtbFBLAQItABQABgAIAAAAIQD0TwJi4gAAAAsBAAAPAAAAAAAAAAAAAAAA&#10;AIcEAABkcnMvZG93bnJldi54bWxQSwUGAAAAAAQABADzAAAAlgUAAAAA&#10;">
                <v:textbox style="mso-fit-shape-to-text:t">
                  <w:txbxContent>
                    <w:p w:rsidR="00A23E2D" w:rsidRPr="0096391C" w:rsidRDefault="003C05E0">
                      <w:pPr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3286125" cy="1571625"/>
                            <wp:effectExtent l="0" t="0" r="9525" b="9525"/>
                            <wp:docPr id="4" name="Picture 4" descr="c12/nw0536-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12/nw0536-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E2D">
        <w:t>2. Concrete sidewalks are always laid in sections, with gaps between each section. For example, the drawing shows three identical 2.4-m sections, the outer two of which are against immovable walls. The two identical gaps between the sections are provided so that</w:t>
      </w:r>
      <w:r w:rsidR="00AC346F">
        <w:t xml:space="preserve"> thermal expansion </w:t>
      </w:r>
      <w:r w:rsidR="00A23E2D">
        <w:t>will not create the thermal</w:t>
      </w:r>
      <w:r w:rsidR="00AC346F">
        <w:t xml:space="preserve"> stress</w:t>
      </w:r>
      <w:r w:rsidR="00A23E2D">
        <w:t xml:space="preserve"> that could lead to cracks. What is the minimum gap width necessary to account for an increase in</w:t>
      </w:r>
      <w:r w:rsidR="00AC346F">
        <w:t xml:space="preserve"> temperature </w:t>
      </w:r>
      <w:r w:rsidR="00A23E2D">
        <w:t>of 32 C°?</w:t>
      </w:r>
    </w:p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Pr="00A23E2D" w:rsidRDefault="00A23E2D" w:rsidP="00A23E2D"/>
    <w:p w:rsidR="00A23E2D" w:rsidRDefault="00A23E2D" w:rsidP="00A23E2D">
      <w:pPr>
        <w:pStyle w:val="NormalWeb"/>
        <w:rPr>
          <w:color w:val="000000"/>
          <w:sz w:val="21"/>
          <w:szCs w:val="21"/>
        </w:rPr>
      </w:pPr>
      <w:r>
        <w:t xml:space="preserve">3. </w:t>
      </w:r>
      <w:r>
        <w:rPr>
          <w:color w:val="000000"/>
          <w:sz w:val="21"/>
          <w:szCs w:val="21"/>
        </w:rPr>
        <w:t xml:space="preserve">Suppose that the steel gas tank in your car is completely filled when the </w:t>
      </w:r>
      <w:r w:rsidR="00AC346F">
        <w:rPr>
          <w:color w:val="000000"/>
          <w:sz w:val="21"/>
          <w:szCs w:val="21"/>
        </w:rPr>
        <w:t xml:space="preserve">temperature </w:t>
      </w:r>
      <w:r>
        <w:rPr>
          <w:color w:val="000000"/>
          <w:sz w:val="21"/>
          <w:szCs w:val="21"/>
        </w:rPr>
        <w:t>is 17 °C. How many gallons will spill out of the twenty-gallon tank when the temperature rises to 35 °C?</w:t>
      </w:r>
    </w:p>
    <w:p w:rsidR="003C05E0" w:rsidRDefault="003C05E0" w:rsidP="00A23E2D">
      <w:pPr>
        <w:pStyle w:val="NormalWeb"/>
        <w:rPr>
          <w:color w:val="000000"/>
          <w:sz w:val="21"/>
          <w:szCs w:val="21"/>
        </w:rPr>
      </w:pPr>
    </w:p>
    <w:p w:rsidR="003C05E0" w:rsidRDefault="003C05E0" w:rsidP="00A23E2D">
      <w:pPr>
        <w:pStyle w:val="NormalWeb"/>
        <w:rPr>
          <w:color w:val="000000"/>
          <w:sz w:val="21"/>
          <w:szCs w:val="21"/>
        </w:rPr>
      </w:pPr>
    </w:p>
    <w:p w:rsidR="003C05E0" w:rsidRDefault="003C05E0" w:rsidP="00A23E2D">
      <w:pPr>
        <w:pStyle w:val="NormalWeb"/>
        <w:rPr>
          <w:color w:val="000000"/>
          <w:sz w:val="21"/>
          <w:szCs w:val="21"/>
        </w:rPr>
      </w:pPr>
    </w:p>
    <w:p w:rsidR="003C05E0" w:rsidRDefault="003C05E0" w:rsidP="00A23E2D">
      <w:pPr>
        <w:pStyle w:val="NormalWeb"/>
        <w:rPr>
          <w:color w:val="000000"/>
          <w:sz w:val="21"/>
          <w:szCs w:val="21"/>
        </w:rPr>
      </w:pPr>
    </w:p>
    <w:p w:rsidR="003C05E0" w:rsidRDefault="003C05E0" w:rsidP="003C05E0">
      <w:r>
        <w:lastRenderedPageBreak/>
        <w:t>Chapter 13 (OS College Physics)</w:t>
      </w:r>
    </w:p>
    <w:tbl>
      <w:tblPr>
        <w:tblW w:w="10032" w:type="dxa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7"/>
        <w:gridCol w:w="8765"/>
      </w:tblGrid>
      <w:tr w:rsidR="003C05E0" w:rsidRPr="00D464DA" w:rsidTr="00D17EBF">
        <w:trPr>
          <w:cantSplit/>
          <w:trHeight w:val="226"/>
        </w:trPr>
        <w:tc>
          <w:tcPr>
            <w:tcW w:w="1267" w:type="dxa"/>
          </w:tcPr>
          <w:p w:rsidR="003C05E0" w:rsidRPr="00D464DA" w:rsidRDefault="003C05E0" w:rsidP="00D17EBF">
            <w:pPr>
              <w:jc w:val="both"/>
            </w:pPr>
            <w:r w:rsidRPr="00D464DA">
              <w:t>1.</w:t>
            </w:r>
          </w:p>
        </w:tc>
        <w:tc>
          <w:tcPr>
            <w:tcW w:w="8765" w:type="dxa"/>
          </w:tcPr>
          <w:p w:rsidR="003C05E0" w:rsidRPr="00B34A91" w:rsidRDefault="003C05E0" w:rsidP="00D17EBF">
            <w:r w:rsidRPr="00D464DA">
              <w:rPr>
                <w:i/>
              </w:rPr>
              <w:t xml:space="preserve">What is the Fahrenheit temperature of a person with a </w:t>
            </w:r>
            <w:r>
              <w:rPr>
                <w:i/>
                <w:noProof/>
                <w:position w:val="-6"/>
              </w:rPr>
              <w:drawing>
                <wp:inline distT="0" distB="0" distL="0" distR="0">
                  <wp:extent cx="476250" cy="171450"/>
                  <wp:effectExtent l="0" t="0" r="0" b="0"/>
                  <wp:docPr id="11" name="Picture 2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4DA">
              <w:rPr>
                <w:i/>
              </w:rPr>
              <w:t xml:space="preserve"> fever?</w:t>
            </w:r>
            <w:r>
              <w:t xml:space="preserve"> [102</w:t>
            </w:r>
            <w:r>
              <w:rPr>
                <w:vertAlign w:val="superscript"/>
              </w:rPr>
              <w:t>0</w:t>
            </w:r>
            <w:r>
              <w:t>F]</w:t>
            </w:r>
          </w:p>
        </w:tc>
      </w:tr>
      <w:tr w:rsidR="003C05E0" w:rsidRPr="00D464DA" w:rsidTr="00D17EBF">
        <w:trPr>
          <w:cantSplit/>
          <w:trHeight w:val="238"/>
        </w:trPr>
        <w:tc>
          <w:tcPr>
            <w:tcW w:w="1267" w:type="dxa"/>
          </w:tcPr>
          <w:p w:rsidR="003C05E0" w:rsidRPr="00D464DA" w:rsidRDefault="003C05E0" w:rsidP="00D17EBF"/>
        </w:tc>
        <w:tc>
          <w:tcPr>
            <w:tcW w:w="8765" w:type="dxa"/>
          </w:tcPr>
          <w:p w:rsidR="003C05E0" w:rsidRPr="00D464DA" w:rsidRDefault="003C05E0" w:rsidP="00D17EBF"/>
        </w:tc>
      </w:tr>
      <w:tr w:rsidR="003C05E0" w:rsidRPr="00D464DA" w:rsidTr="00D17EBF">
        <w:trPr>
          <w:cantSplit/>
          <w:trHeight w:val="464"/>
        </w:trPr>
        <w:tc>
          <w:tcPr>
            <w:tcW w:w="1267" w:type="dxa"/>
          </w:tcPr>
          <w:p w:rsidR="003C05E0" w:rsidRPr="00D464DA" w:rsidRDefault="003C05E0" w:rsidP="00D17EBF">
            <w:pPr>
              <w:jc w:val="both"/>
            </w:pPr>
            <w:r w:rsidRPr="00D464DA">
              <w:t>2.</w:t>
            </w:r>
          </w:p>
        </w:tc>
        <w:tc>
          <w:tcPr>
            <w:tcW w:w="8765" w:type="dxa"/>
          </w:tcPr>
          <w:p w:rsidR="003C05E0" w:rsidRPr="00B34A91" w:rsidRDefault="003C05E0" w:rsidP="00D17EBF">
            <w:r w:rsidRPr="00D464DA">
              <w:rPr>
                <w:i/>
              </w:rPr>
              <w:t xml:space="preserve">Frost damage to most plants occurs at temperatures of </w:t>
            </w:r>
            <w:r>
              <w:rPr>
                <w:i/>
                <w:noProof/>
                <w:position w:val="-6"/>
              </w:rPr>
              <w:drawing>
                <wp:inline distT="0" distB="0" distL="0" distR="0">
                  <wp:extent cx="466725" cy="171450"/>
                  <wp:effectExtent l="0" t="0" r="9525" b="0"/>
                  <wp:docPr id="10" name="Picture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4DA">
              <w:rPr>
                <w:i/>
              </w:rPr>
              <w:t xml:space="preserve"> or lower. What is this temperature on the Kelvin scale?</w:t>
            </w:r>
            <w:r>
              <w:rPr>
                <w:i/>
              </w:rPr>
              <w:t xml:space="preserve"> </w:t>
            </w:r>
            <w:r>
              <w:t>[271 K]</w:t>
            </w:r>
          </w:p>
        </w:tc>
      </w:tr>
      <w:tr w:rsidR="003C05E0" w:rsidRPr="00D464DA" w:rsidTr="00D17EBF">
        <w:trPr>
          <w:cantSplit/>
          <w:trHeight w:val="562"/>
        </w:trPr>
        <w:tc>
          <w:tcPr>
            <w:tcW w:w="1267" w:type="dxa"/>
          </w:tcPr>
          <w:p w:rsidR="003C05E0" w:rsidRPr="00D464DA" w:rsidRDefault="003C05E0" w:rsidP="00D17EBF"/>
        </w:tc>
        <w:tc>
          <w:tcPr>
            <w:tcW w:w="8765" w:type="dxa"/>
          </w:tcPr>
          <w:p w:rsidR="003C05E0" w:rsidRPr="00D464DA" w:rsidRDefault="003C05E0" w:rsidP="00D17EBF">
            <w:pPr>
              <w:pStyle w:val="Numberlist"/>
              <w:suppressLineNumbers/>
              <w:spacing w:before="200"/>
            </w:pPr>
          </w:p>
        </w:tc>
      </w:tr>
      <w:tr w:rsidR="003C05E0" w:rsidRPr="00D464DA" w:rsidTr="00D17EBF">
        <w:trPr>
          <w:cantSplit/>
          <w:trHeight w:val="1291"/>
        </w:trPr>
        <w:tc>
          <w:tcPr>
            <w:tcW w:w="1267" w:type="dxa"/>
          </w:tcPr>
          <w:p w:rsidR="003C05E0" w:rsidRPr="00D464DA" w:rsidRDefault="003C05E0" w:rsidP="00D17EBF">
            <w:r w:rsidRPr="00D464DA">
              <w:t>8.</w:t>
            </w:r>
          </w:p>
        </w:tc>
        <w:tc>
          <w:tcPr>
            <w:tcW w:w="8765" w:type="dxa"/>
          </w:tcPr>
          <w:p w:rsidR="003C05E0" w:rsidRPr="00FB0BF9" w:rsidRDefault="003C05E0" w:rsidP="00107C8A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</w:rPr>
            </w:pPr>
            <w:r w:rsidRPr="00FB0BF9">
              <w:rPr>
                <w:rFonts w:ascii="Calibri" w:hAnsi="Calibri"/>
                <w:b w:val="0"/>
                <w:sz w:val="24"/>
              </w:rPr>
              <w:t>(a) At what temperature do the Fahrenheit and Celsius scales have the same numerical value?</w:t>
            </w:r>
            <w:r>
              <w:rPr>
                <w:rFonts w:ascii="Calibri" w:hAnsi="Calibri"/>
                <w:b w:val="0"/>
                <w:sz w:val="24"/>
              </w:rPr>
              <w:t xml:space="preserve"> </w:t>
            </w:r>
            <w:r w:rsidRPr="00FB0BF9">
              <w:rPr>
                <w:rFonts w:ascii="Calibri" w:hAnsi="Calibri"/>
                <w:b w:val="0"/>
                <w:sz w:val="24"/>
              </w:rPr>
              <w:t>(b) At what temperature do the Fahrenheit and Kelvin scales have the same numerical value?</w:t>
            </w:r>
            <w:r>
              <w:rPr>
                <w:rFonts w:ascii="Calibri" w:hAnsi="Calibri"/>
                <w:b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3C05E0" w:rsidRPr="00D464DA" w:rsidTr="00D17EBF">
        <w:trPr>
          <w:cantSplit/>
          <w:trHeight w:val="601"/>
        </w:trPr>
        <w:tc>
          <w:tcPr>
            <w:tcW w:w="1267" w:type="dxa"/>
          </w:tcPr>
          <w:p w:rsidR="003C05E0" w:rsidRPr="00D464DA" w:rsidRDefault="003C05E0" w:rsidP="00D17EBF"/>
        </w:tc>
        <w:tc>
          <w:tcPr>
            <w:tcW w:w="8765" w:type="dxa"/>
          </w:tcPr>
          <w:p w:rsidR="003C05E0" w:rsidRPr="00FB0BF9" w:rsidRDefault="003C05E0" w:rsidP="00D17EBF">
            <w:pPr>
              <w:pStyle w:val="Numberlist"/>
              <w:suppressLineNumbers/>
              <w:spacing w:before="200"/>
              <w:ind w:left="0"/>
              <w:rPr>
                <w:rFonts w:ascii="Calibri" w:hAnsi="Calibri"/>
                <w:b w:val="0"/>
                <w:sz w:val="24"/>
              </w:rPr>
            </w:pPr>
          </w:p>
        </w:tc>
      </w:tr>
      <w:tr w:rsidR="003C05E0" w:rsidRPr="00D464DA" w:rsidTr="00D17EBF">
        <w:trPr>
          <w:cantSplit/>
          <w:trHeight w:val="1055"/>
        </w:trPr>
        <w:tc>
          <w:tcPr>
            <w:tcW w:w="1267" w:type="dxa"/>
          </w:tcPr>
          <w:p w:rsidR="003C05E0" w:rsidRPr="00D464DA" w:rsidRDefault="003C05E0" w:rsidP="00D17EBF">
            <w:r w:rsidRPr="00D464DA">
              <w:t>15.</w:t>
            </w:r>
          </w:p>
        </w:tc>
        <w:tc>
          <w:tcPr>
            <w:tcW w:w="8765" w:type="dxa"/>
          </w:tcPr>
          <w:p w:rsidR="003C05E0" w:rsidRPr="007A1B4F" w:rsidRDefault="003C05E0" w:rsidP="00D17EBF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  <w:vertAlign w:val="superscript"/>
              </w:rPr>
            </w:pPr>
            <w:r w:rsidRPr="00FB0BF9">
              <w:rPr>
                <w:rFonts w:ascii="Calibri" w:hAnsi="Calibri"/>
                <w:b w:val="0"/>
                <w:sz w:val="24"/>
              </w:rPr>
              <w:t xml:space="preserve">Show that 60.0 L of gasoline originally at </w:t>
            </w:r>
            <w:r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>
                  <wp:extent cx="466725" cy="171450"/>
                  <wp:effectExtent l="0" t="0" r="9525" b="0"/>
                  <wp:docPr id="9" name="Picture 2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will expand to 61.1 L when it warms to </w:t>
            </w:r>
            <w:r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>
                  <wp:extent cx="514350" cy="200025"/>
                  <wp:effectExtent l="0" t="0" r="0" b="9525"/>
                  <wp:docPr id="8" name="Picture 2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as claimed in Example 13.4.</w:t>
            </w:r>
            <w:r>
              <w:rPr>
                <w:rFonts w:ascii="Calibri" w:hAnsi="Calibri"/>
                <w:b w:val="0"/>
                <w:sz w:val="24"/>
              </w:rPr>
              <w:t xml:space="preserve"> Assume β</w:t>
            </w:r>
            <w:r>
              <w:rPr>
                <w:rFonts w:ascii="Calibri" w:hAnsi="Calibri"/>
                <w:b w:val="0"/>
                <w:sz w:val="24"/>
                <w:vertAlign w:val="subscript"/>
              </w:rPr>
              <w:t xml:space="preserve">gas </w:t>
            </w:r>
            <w:r>
              <w:rPr>
                <w:rFonts w:ascii="Calibri" w:hAnsi="Calibri"/>
                <w:b w:val="0"/>
                <w:sz w:val="24"/>
              </w:rPr>
              <w:t>= 950 x 10</w:t>
            </w:r>
            <w:r>
              <w:rPr>
                <w:rFonts w:ascii="Calibri" w:hAnsi="Calibri"/>
                <w:b w:val="0"/>
                <w:sz w:val="24"/>
                <w:vertAlign w:val="superscript"/>
              </w:rPr>
              <w:t>-6</w:t>
            </w:r>
            <w:r>
              <w:rPr>
                <w:rFonts w:ascii="Calibri" w:hAnsi="Calibri"/>
                <w:b w:val="0"/>
                <w:sz w:val="24"/>
              </w:rPr>
              <w:t xml:space="preserve"> [C</w:t>
            </w:r>
            <w:r>
              <w:rPr>
                <w:rFonts w:ascii="Calibri" w:hAnsi="Calibri"/>
                <w:b w:val="0"/>
                <w:sz w:val="24"/>
                <w:vertAlign w:val="superscript"/>
              </w:rPr>
              <w:t>0</w:t>
            </w:r>
            <w:r>
              <w:rPr>
                <w:rFonts w:ascii="Calibri" w:hAnsi="Calibri"/>
                <w:b w:val="0"/>
                <w:sz w:val="24"/>
              </w:rPr>
              <w:t>]</w:t>
            </w:r>
            <w:r>
              <w:rPr>
                <w:rFonts w:ascii="Calibri" w:hAnsi="Calibri"/>
                <w:b w:val="0"/>
                <w:sz w:val="24"/>
                <w:vertAlign w:val="superscript"/>
              </w:rPr>
              <w:t>-1</w:t>
            </w:r>
          </w:p>
        </w:tc>
      </w:tr>
      <w:tr w:rsidR="003C05E0" w:rsidRPr="00D464DA" w:rsidTr="00D17EBF">
        <w:trPr>
          <w:cantSplit/>
          <w:trHeight w:val="601"/>
        </w:trPr>
        <w:tc>
          <w:tcPr>
            <w:tcW w:w="1267" w:type="dxa"/>
          </w:tcPr>
          <w:p w:rsidR="003C05E0" w:rsidRPr="00D464DA" w:rsidRDefault="003C05E0" w:rsidP="00D17EBF"/>
        </w:tc>
        <w:tc>
          <w:tcPr>
            <w:tcW w:w="8765" w:type="dxa"/>
          </w:tcPr>
          <w:p w:rsidR="003C05E0" w:rsidRPr="00FB0BF9" w:rsidRDefault="003C05E0" w:rsidP="00D17EBF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</w:rPr>
            </w:pPr>
          </w:p>
        </w:tc>
      </w:tr>
      <w:tr w:rsidR="003C05E0" w:rsidRPr="00D464DA" w:rsidTr="00D17EBF">
        <w:trPr>
          <w:cantSplit/>
          <w:trHeight w:val="2138"/>
        </w:trPr>
        <w:tc>
          <w:tcPr>
            <w:tcW w:w="1267" w:type="dxa"/>
          </w:tcPr>
          <w:p w:rsidR="003C05E0" w:rsidRPr="00D464DA" w:rsidRDefault="003C05E0" w:rsidP="00D17EBF">
            <w:r w:rsidRPr="00D464DA">
              <w:t>18.</w:t>
            </w:r>
          </w:p>
        </w:tc>
        <w:tc>
          <w:tcPr>
            <w:tcW w:w="8765" w:type="dxa"/>
          </w:tcPr>
          <w:p w:rsidR="003C05E0" w:rsidRPr="00FB0BF9" w:rsidRDefault="003C05E0" w:rsidP="00D17EBF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</w:rPr>
            </w:pPr>
            <w:r w:rsidRPr="00FB0BF9">
              <w:rPr>
                <w:rFonts w:ascii="Calibri" w:hAnsi="Calibri"/>
                <w:b w:val="0"/>
                <w:sz w:val="24"/>
              </w:rPr>
              <w:t>Most automobiles have a coolant reservoir to catch radiator fluid that may overflow when the engine is hot. A radiator is made of copper and is filled to its 16.0</w:t>
            </w:r>
            <w:r w:rsidRPr="00FB0BF9" w:rsidDel="008E2E39">
              <w:rPr>
                <w:rFonts w:ascii="Calibri" w:hAnsi="Calibri"/>
                <w:b w:val="0"/>
                <w:sz w:val="24"/>
              </w:rPr>
              <w:t>-</w:t>
            </w:r>
            <w:r w:rsidRPr="00FB0BF9">
              <w:rPr>
                <w:rFonts w:ascii="Calibri" w:hAnsi="Calibri"/>
                <w:b w:val="0"/>
                <w:sz w:val="24"/>
              </w:rPr>
              <w:t xml:space="preserve">L capacity when at </w:t>
            </w:r>
            <w:r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>
                  <wp:extent cx="514350" cy="171450"/>
                  <wp:effectExtent l="0" t="0" r="0" b="0"/>
                  <wp:docPr id="7" name="Picture 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What volume of radiator fluid will overflow when the radiator and fluid reach their </w:t>
            </w:r>
            <w:r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>
                  <wp:extent cx="476250" cy="171450"/>
                  <wp:effectExtent l="0" t="0" r="0" b="0"/>
                  <wp:docPr id="6" name="Picture 2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operating temperature, given that the fluid’s volume coefficient of expansion </w:t>
            </w:r>
            <w:proofErr w:type="gramStart"/>
            <w:r w:rsidRPr="00FB0BF9">
              <w:rPr>
                <w:rFonts w:ascii="Calibri" w:hAnsi="Calibri"/>
                <w:b w:val="0"/>
                <w:sz w:val="24"/>
              </w:rPr>
              <w:t xml:space="preserve">is </w:t>
            </w:r>
            <w:proofErr w:type="gramEnd"/>
            <w:r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>
                  <wp:extent cx="1104900" cy="219075"/>
                  <wp:effectExtent l="0" t="0" r="0" b="9525"/>
                  <wp:docPr id="5" name="Picture 2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? </w:t>
            </w:r>
            <w:r>
              <w:rPr>
                <w:rFonts w:ascii="Calibri" w:hAnsi="Calibri"/>
                <w:b w:val="0"/>
                <w:noProof/>
                <w:sz w:val="24"/>
              </w:rPr>
              <w:t>[0.475 L]</w:t>
            </w:r>
          </w:p>
        </w:tc>
      </w:tr>
    </w:tbl>
    <w:p w:rsidR="00533059" w:rsidRPr="00A23E2D" w:rsidRDefault="00533059" w:rsidP="00A23E2D"/>
    <w:sectPr w:rsidR="00533059" w:rsidRPr="00A2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107C8A"/>
    <w:rsid w:val="003C05E0"/>
    <w:rsid w:val="003F4D88"/>
    <w:rsid w:val="00533059"/>
    <w:rsid w:val="0074514A"/>
    <w:rsid w:val="009F4205"/>
    <w:rsid w:val="00A23E2D"/>
    <w:rsid w:val="00A47297"/>
    <w:rsid w:val="00AC346F"/>
    <w:rsid w:val="00B6362A"/>
    <w:rsid w:val="00ED6A0A"/>
    <w:rsid w:val="00F11E47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3E2D"/>
    <w:pPr>
      <w:spacing w:before="100" w:beforeAutospacing="1" w:after="100" w:afterAutospacing="1"/>
    </w:pPr>
  </w:style>
  <w:style w:type="character" w:customStyle="1" w:styleId="keyword1">
    <w:name w:val="keyword1"/>
    <w:rsid w:val="00A23E2D"/>
    <w:rPr>
      <w:strike w:val="0"/>
      <w:dstrike w:val="0"/>
      <w:color w:val="008000"/>
      <w:u w:val="none"/>
      <w:effect w:val="none"/>
    </w:rPr>
  </w:style>
  <w:style w:type="paragraph" w:customStyle="1" w:styleId="Numberlist">
    <w:name w:val="Number list"/>
    <w:basedOn w:val="Normal"/>
    <w:uiPriority w:val="99"/>
    <w:rsid w:val="003C05E0"/>
    <w:pPr>
      <w:spacing w:before="120" w:after="120" w:line="360" w:lineRule="auto"/>
      <w:ind w:left="720" w:hanging="720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3E2D"/>
    <w:pPr>
      <w:spacing w:before="100" w:beforeAutospacing="1" w:after="100" w:afterAutospacing="1"/>
    </w:pPr>
  </w:style>
  <w:style w:type="character" w:customStyle="1" w:styleId="keyword1">
    <w:name w:val="keyword1"/>
    <w:rsid w:val="00A23E2D"/>
    <w:rPr>
      <w:strike w:val="0"/>
      <w:dstrike w:val="0"/>
      <w:color w:val="008000"/>
      <w:u w:val="none"/>
      <w:effect w:val="none"/>
    </w:rPr>
  </w:style>
  <w:style w:type="paragraph" w:customStyle="1" w:styleId="Numberlist">
    <w:name w:val="Number list"/>
    <w:basedOn w:val="Normal"/>
    <w:uiPriority w:val="99"/>
    <w:rsid w:val="003C05E0"/>
    <w:pPr>
      <w:spacing w:before="120" w:after="120" w:line="360" w:lineRule="auto"/>
      <w:ind w:left="720" w:hanging="720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0.png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3</cp:revision>
  <cp:lastPrinted>2015-01-07T18:09:00Z</cp:lastPrinted>
  <dcterms:created xsi:type="dcterms:W3CDTF">2018-01-09T16:00:00Z</dcterms:created>
  <dcterms:modified xsi:type="dcterms:W3CDTF">2018-01-09T16:08:00Z</dcterms:modified>
</cp:coreProperties>
</file>